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F96F8F">
        <w:rPr>
          <w:rFonts w:ascii="GHEA Grapalat" w:hAnsi="GHEA Grapalat"/>
          <w:sz w:val="24"/>
          <w:szCs w:val="24"/>
          <w:lang w:val="hy-AM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F96F8F">
        <w:rPr>
          <w:rFonts w:ascii="GHEA Grapalat" w:hAnsi="GHEA Grapalat"/>
          <w:sz w:val="24"/>
          <w:szCs w:val="24"/>
          <w:lang w:val="hy-AM"/>
        </w:rPr>
        <w:t>30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0446A6" w:rsidRPr="000446A6">
        <w:rPr>
          <w:rFonts w:ascii="GHEA Grapalat" w:hAnsi="GHEA Grapalat"/>
          <w:sz w:val="24"/>
          <w:szCs w:val="24"/>
        </w:rPr>
        <w:t>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1F7659">
        <w:rPr>
          <w:rFonts w:ascii="GHEA Grapalat" w:hAnsi="GHEA Grapalat"/>
          <w:sz w:val="24"/>
          <w:szCs w:val="24"/>
        </w:rPr>
        <w:t>6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HAEK-BMTsDzB-6/25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1F7659" w:rsidRPr="001579DD">
        <w:rPr>
          <w:rFonts w:ascii="GHEA Grapalat" w:hAnsi="GHEA Grapalat"/>
          <w:b/>
          <w:szCs w:val="28"/>
        </w:rPr>
        <w:t>mодернизаци</w:t>
      </w:r>
      <w:r w:rsidR="001F7659">
        <w:rPr>
          <w:rFonts w:ascii="GHEA Grapalat" w:hAnsi="GHEA Grapalat"/>
          <w:b/>
          <w:szCs w:val="28"/>
          <w:lang w:val="hy-AM"/>
        </w:rPr>
        <w:t>и</w:t>
      </w:r>
      <w:r w:rsidR="001F7659" w:rsidRPr="001579DD">
        <w:rPr>
          <w:rFonts w:ascii="GHEA Grapalat" w:hAnsi="GHEA Grapalat"/>
          <w:b/>
          <w:szCs w:val="28"/>
        </w:rPr>
        <w:t xml:space="preserve"> системы автоматического регулирования и защиты турбин</w:t>
      </w:r>
      <w:r w:rsidR="001F7659" w:rsidRPr="001579DD">
        <w:rPr>
          <w:rFonts w:ascii="GHEA Grapalat" w:hAnsi="GHEA Grapalat"/>
          <w:szCs w:val="28"/>
        </w:rPr>
        <w:t xml:space="preserve"> </w:t>
      </w:r>
      <w:r w:rsidR="001F7659" w:rsidRPr="00CB441F">
        <w:rPr>
          <w:rFonts w:ascii="GHEA Grapalat" w:hAnsi="GHEA Grapalat"/>
          <w:b/>
        </w:rPr>
        <w:t xml:space="preserve">энергоблока №2 </w:t>
      </w:r>
      <w:r w:rsidR="001F7659" w:rsidRPr="001F7659">
        <w:rPr>
          <w:rFonts w:ascii="GHEA Grapalat" w:hAnsi="GHEA Grapalat"/>
          <w:b/>
          <w:szCs w:val="28"/>
        </w:rPr>
        <w:t xml:space="preserve">ААЭС </w:t>
      </w:r>
      <w:r w:rsidR="00085F00" w:rsidRPr="00211DE7">
        <w:rPr>
          <w:rFonts w:ascii="GHEA Grapalat" w:hAnsi="GHEA Grapalat"/>
          <w:szCs w:val="24"/>
        </w:rPr>
        <w:t>ниже представляет запрос</w:t>
      </w:r>
      <w:r w:rsidR="00F96F8F">
        <w:rPr>
          <w:rFonts w:ascii="GHEA Grapalat" w:hAnsi="GHEA Grapalat"/>
          <w:szCs w:val="24"/>
          <w:lang w:val="hy-AM"/>
        </w:rPr>
        <w:t>ы</w:t>
      </w:r>
      <w:r w:rsidR="00085F00" w:rsidRPr="00211DE7">
        <w:rPr>
          <w:rFonts w:ascii="GHEA Grapalat" w:hAnsi="GHEA Grapalat"/>
          <w:szCs w:val="24"/>
        </w:rPr>
        <w:t>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F96F8F">
        <w:rPr>
          <w:rFonts w:ascii="GHEA Grapalat" w:hAnsi="GHEA Grapalat"/>
          <w:spacing w:val="4"/>
          <w:szCs w:val="24"/>
          <w:lang w:val="hy-AM"/>
        </w:rPr>
        <w:t>ы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1F7659">
        <w:rPr>
          <w:rFonts w:ascii="GHEA Grapalat" w:hAnsi="GHEA Grapalat"/>
          <w:b/>
          <w:spacing w:val="4"/>
          <w:szCs w:val="24"/>
        </w:rPr>
        <w:t>2</w:t>
      </w:r>
      <w:r w:rsidR="00F96F8F">
        <w:rPr>
          <w:rFonts w:ascii="GHEA Grapalat" w:hAnsi="GHEA Grapalat"/>
          <w:b/>
          <w:spacing w:val="4"/>
          <w:szCs w:val="24"/>
          <w:lang w:val="hy-AM"/>
        </w:rPr>
        <w:t>5 - 28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F96F8F">
        <w:rPr>
          <w:rFonts w:ascii="GHEA Grapalat" w:hAnsi="GHEA Grapalat"/>
          <w:b/>
          <w:spacing w:val="4"/>
          <w:szCs w:val="24"/>
          <w:lang w:val="hy-AM"/>
        </w:rPr>
        <w:t>30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5D43AC" w:rsidRDefault="005D43AC" w:rsidP="005D43AC">
      <w:pPr>
        <w:widowControl w:val="0"/>
        <w:ind w:left="-426"/>
        <w:jc w:val="both"/>
        <w:rPr>
          <w:rFonts w:ascii="GHEA Grapalat" w:hAnsi="GHEA Grapalat"/>
          <w:sz w:val="1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Запрос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1    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6"/>
        <w:gridCol w:w="5954"/>
      </w:tblGrid>
      <w:tr w:rsidR="005D43AC" w:rsidRPr="00F96F8F" w:rsidTr="005D43AC">
        <w:trPr>
          <w:trHeight w:val="56"/>
          <w:tblHeader/>
        </w:trPr>
        <w:tc>
          <w:tcPr>
            <w:tcW w:w="1129" w:type="dxa"/>
            <w:shd w:val="clear" w:color="auto" w:fill="D9D9D9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№ пункта ТТ</w:t>
            </w:r>
          </w:p>
        </w:tc>
        <w:tc>
          <w:tcPr>
            <w:tcW w:w="2556" w:type="dxa"/>
            <w:shd w:val="clear" w:color="auto" w:fill="D9D9D9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szCs w:val="24"/>
              </w:rPr>
            </w:pPr>
            <w:r w:rsidRPr="005D43AC">
              <w:rPr>
                <w:rFonts w:ascii="GHEA Grapalat" w:hAnsi="GHEA Grapalat"/>
                <w:i/>
                <w:sz w:val="18"/>
                <w:szCs w:val="24"/>
              </w:rPr>
              <w:t>Требование ТТ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szCs w:val="24"/>
              </w:rPr>
            </w:pPr>
            <w:r w:rsidRPr="005D43AC">
              <w:rPr>
                <w:rFonts w:ascii="GHEA Grapalat" w:hAnsi="GHEA Grapalat"/>
                <w:i/>
                <w:sz w:val="18"/>
                <w:szCs w:val="24"/>
              </w:rPr>
              <w:t>Вопрос</w:t>
            </w:r>
          </w:p>
        </w:tc>
      </w:tr>
      <w:tr w:rsidR="005D43AC" w:rsidRPr="00F96F8F" w:rsidTr="005D43AC">
        <w:trPr>
          <w:trHeight w:val="2755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7.1.4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Подрядчик должен обеспечить практичность в использовании предложенного оборудования и совместимость для подключения к соответствующим станционным системам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Учитывая сжатые сроки поставки просим уточнить порядок и сроки получения исходных данных от ААЭС, а именно: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перечни входных аналоговых и дискретных сигналов (включая сигналы смежных систем);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существующие схемы системы регулирования и их описание;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существующие инструкции по эксплуатации;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схема помещения для установки САРЗТ с указанием выделенного места для шкафов;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схема размещения существующих пультов и ключей управления на БЩУ;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схема существующего механического оборудования на передке турбины;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- нагрузочные характеристики ТГ-3(4) и др.</w:t>
            </w:r>
          </w:p>
        </w:tc>
      </w:tr>
      <w:tr w:rsidR="005D43AC" w:rsidRPr="00F96F8F" w:rsidTr="005D43AC">
        <w:trPr>
          <w:trHeight w:val="1652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7.1.5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Оборудование должно отвечать требованиям государственных норм республики Армения, что должно быть подтверждено соответствующими сертификатами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1.Просим указать перечень "государственных норм республики Армения", которым должно отвечать оборудование.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2.Просим описать процедуры и привести название органа сертификации республики Армения.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3.Допустимо ли использовать сертификаты других государств?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4.Допустимо ли проводить сертификацию по международным нормам в других лабораториях?</w:t>
            </w:r>
          </w:p>
        </w:tc>
      </w:tr>
      <w:tr w:rsidR="005D43AC" w:rsidRPr="00F96F8F" w:rsidTr="005D43AC">
        <w:trPr>
          <w:trHeight w:val="988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8.2.2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САРЗ должна обеспечить участие турбин энергоблока ААЭС в комплексе с АРМ реактора и системой разгрузки и ограничения мощности в режиме ОПРЧ.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Просим уточнить как и кто будет производить доработку АРМ и РОМ реактора для работы в режиме ОПРЧ? Или это входит в обязанности по договору?</w:t>
            </w:r>
          </w:p>
        </w:tc>
      </w:tr>
      <w:tr w:rsidR="005D43AC" w:rsidRPr="00F96F8F" w:rsidTr="005D43AC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8.2.3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ЭЧ САРЗ должна состоять из двух физически разделенных каналов, дублирующих друг друга.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1.Означает ли это, что каждый канал САРЗТ работает с одним датчиком частоты вращения ротора ТГ? То есть всего два датчика для САРЗТ?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2.Допускается ли использование 3х-канальной системы (с физически разделенными каналами), формирующей управляющие сигналы по мажоритарной схеме "2оо3", которая улучшает показатели надежности по сравнению с дублированной системой более чем в 20 раз?</w:t>
            </w:r>
          </w:p>
        </w:tc>
      </w:tr>
      <w:tr w:rsidR="005D43AC" w:rsidRPr="00F96F8F" w:rsidTr="005D43AC">
        <w:trPr>
          <w:trHeight w:val="1131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8.6.1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Категория сейсмостойкости оборудования САРЗ – ІІ по НП-031-01.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1.НП-031-01 определяет общие спектры сейсмических колебаний на уровне грунта площадки АЕС (ПУГ). Для определения спектра сейсмических колебаний оборудования, которое устанавливается внутри помещений продольной и поперечной этажерок требуется также ВЫСОТА возвышения помещения с оборудованием САРЗТ над уровнем грунта. Предлагаем кроме НП-031-01 использовать ГОСТ 30546.1-98, в котором приведены соответствующие требования, а также указать высоту установки шкафов САРЗТ над нулевой отметкой.</w:t>
            </w:r>
          </w:p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 xml:space="preserve">2.В соответствии с 6.3 НП-031-01 в работе оборудования </w:t>
            </w:r>
            <w:r w:rsidRPr="005D43AC">
              <w:rPr>
                <w:rFonts w:ascii="GHEA Grapalat" w:hAnsi="GHEA Grapalat"/>
                <w:i/>
                <w:sz w:val="18"/>
              </w:rPr>
              <w:lastRenderedPageBreak/>
              <w:t>категории сейсмостойкости II при МРЗ допускаются нарушения функционирования, которые должны исчезнуть после прохождения МРЗ. Однако при МРЗ на площадке ААЭС реактор будет остановлен действием АЗ-1, а турбина на время МРЗ может остаться без системы регулирования и без ЭАБ (электронного автомата безопасности) (только с механическим в сторону разгона). Предлагаем рассмотреть возможность перевода сейсмостойкости шкафов САРЗТ в категорию І.</w:t>
            </w:r>
          </w:p>
        </w:tc>
      </w:tr>
      <w:tr w:rsidR="005D43AC" w:rsidRPr="00F96F8F" w:rsidTr="005D43AC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lastRenderedPageBreak/>
              <w:t>8.7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Электропитание САРЗТ от общеблочного источника первой группы с резервирование от секций нормальной эксплуатации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соответствии с 1.2.19 ПУЭ "электроприемники первой группы в нормальных условиях должны обеспечиваться электроэнергией от двух независимых взаимно резервирующих источников питания". Означает ли фраза "..с резервирование от секций нормальной эксплуатации" наличие 3-го фидера от секций нормальной эксплуатации? Или для САРЗТ предусмотрено только 2(два) фидера переменного тока, один из которых от секций нормально эксплуатации?</w:t>
            </w:r>
          </w:p>
        </w:tc>
      </w:tr>
      <w:tr w:rsidR="005D43AC" w:rsidRPr="00F96F8F" w:rsidTr="005D43AC">
        <w:trPr>
          <w:trHeight w:val="56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не указан класс безопасности САРЗТ в соответствии с ОПБ-88-97 (3НУ, 4НУ?). Просим указать.</w:t>
            </w:r>
          </w:p>
        </w:tc>
      </w:tr>
      <w:tr w:rsidR="005D43AC" w:rsidRPr="00F96F8F" w:rsidTr="005D43AC">
        <w:trPr>
          <w:trHeight w:val="56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не указаны категории безопасности выполняемых функций (А, В или С?) в соответствии с IEC 61226 или IEC 61513. Просим указать.</w:t>
            </w:r>
          </w:p>
        </w:tc>
      </w:tr>
      <w:tr w:rsidR="005D43AC" w:rsidRPr="00F96F8F" w:rsidTr="005D43AC">
        <w:trPr>
          <w:trHeight w:val="283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не указаны климатические условия размещения шкафов САРЗТ. Просим указать рабочие и граничные значения ВВФ (температура, влажность и т.д).</w:t>
            </w:r>
          </w:p>
        </w:tc>
      </w:tr>
      <w:tr w:rsidR="005D43AC" w:rsidRPr="00F96F8F" w:rsidTr="005D43AC">
        <w:trPr>
          <w:trHeight w:val="293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отсутствуют требования к метрологическим характеристикам измерительных каналов технологических параметров (приведенная и дополнительные погрешности). Просим указать.</w:t>
            </w:r>
          </w:p>
        </w:tc>
      </w:tr>
      <w:tr w:rsidR="005D43AC" w:rsidRPr="00F96F8F" w:rsidTr="005D43AC">
        <w:trPr>
          <w:trHeight w:val="349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отсутствуют требования в временным характеристикам САРЗТ (циклы ввода/вывода данных, длительность цикла работы алгоритмов, быстродействие ЭАБ и др.). Просим указать.</w:t>
            </w:r>
          </w:p>
        </w:tc>
      </w:tr>
      <w:tr w:rsidR="005D43AC" w:rsidRPr="00F96F8F" w:rsidTr="005D43AC">
        <w:trPr>
          <w:trHeight w:val="56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ТТ отсутствуют требования по использованию в САРЗТ сигналов единого времени АЕС. Просим указать.</w:t>
            </w:r>
          </w:p>
        </w:tc>
      </w:tr>
      <w:tr w:rsidR="005D43AC" w:rsidRPr="00F96F8F" w:rsidTr="005D43AC">
        <w:trPr>
          <w:trHeight w:val="369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вопрос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В состав оборудования САРЗТ для АЭС с ВВЭР-440 (РУ В-213) входит блок индикации выносной (БИВ), который устанавливается на БЩУ ы при работе на мощности отображает частому сети и мощность ТГ, а во время ППР – частоту вращения ротора турбины на валоповороте. Имеется ли аналогичный блок индикации на ААЭС?</w:t>
            </w:r>
          </w:p>
        </w:tc>
      </w:tr>
      <w:tr w:rsidR="005D43AC" w:rsidRPr="00F96F8F" w:rsidTr="005D43AC">
        <w:trPr>
          <w:trHeight w:val="56"/>
        </w:trPr>
        <w:tc>
          <w:tcPr>
            <w:tcW w:w="1129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Дополнительный опрос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D43AC" w:rsidRPr="005D43AC" w:rsidRDefault="005D43AC" w:rsidP="001F66B2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D43AC">
              <w:rPr>
                <w:rFonts w:ascii="GHEA Grapalat" w:hAnsi="GHEA Grapalat"/>
                <w:i/>
                <w:sz w:val="18"/>
              </w:rPr>
              <w:t>Имеется ли на ААЭС (и должен ли входить в поставку) пульт управления турбиной по месту (в машзале)?</w:t>
            </w:r>
          </w:p>
        </w:tc>
      </w:tr>
    </w:tbl>
    <w:p w:rsidR="005D43AC" w:rsidRDefault="005D43AC" w:rsidP="005D43AC">
      <w:pPr>
        <w:widowControl w:val="0"/>
        <w:ind w:left="-426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5D43AC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  <w:r>
        <w:rPr>
          <w:rFonts w:ascii="GHEA Grapalat" w:hAnsi="GHEA Grapalat"/>
          <w:sz w:val="2"/>
          <w:szCs w:val="22"/>
        </w:rPr>
        <w:br w:type="textWrapping" w:clear="all"/>
      </w:r>
    </w:p>
    <w:p w:rsidR="005D43AC" w:rsidRPr="005D43AC" w:rsidRDefault="00FE6E52" w:rsidP="005D43AC">
      <w:pPr>
        <w:pStyle w:val="BodyText"/>
        <w:framePr w:hSpace="180" w:wrap="around" w:vAnchor="text" w:hAnchor="text" w:x="-488" w:y="1"/>
        <w:ind w:left="1560" w:right="34" w:hanging="1702"/>
        <w:suppressOverlap/>
        <w:jc w:val="both"/>
        <w:rPr>
          <w:rFonts w:ascii="GHEA Grapalat" w:hAnsi="GHEA Grapalat"/>
          <w:sz w:val="10"/>
          <w:szCs w:val="22"/>
          <w:lang w:val="hy-AM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D43AC" w:rsidRPr="00211DE7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5D43AC" w:rsidRPr="005D43AC" w:rsidRDefault="005D43AC" w:rsidP="005D43AC">
      <w:pPr>
        <w:pStyle w:val="BodyText"/>
        <w:framePr w:hSpace="180" w:wrap="around" w:vAnchor="text" w:hAnchor="text" w:x="-488" w:y="1"/>
        <w:ind w:left="1418" w:right="-143" w:hanging="1418"/>
        <w:suppressOverlap/>
        <w:jc w:val="both"/>
        <w:rPr>
          <w:rFonts w:ascii="GHEA Grapalat" w:hAnsi="GHEA Grapalat"/>
          <w:i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Запрос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2 </w:t>
      </w:r>
      <w:r w:rsidR="00FE6E52" w:rsidRPr="00FE6E52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ab/>
      </w:r>
      <w:r w:rsidRPr="005D43AC">
        <w:rPr>
          <w:rFonts w:ascii="GHEA Grapalat" w:hAnsi="GHEA Grapalat"/>
          <w:i/>
        </w:rPr>
        <w:t>1) Объем модернизации гидравлической части, с указанием конкретных узлов и элементов, подлежащих замене;</w:t>
      </w:r>
    </w:p>
    <w:p w:rsidR="005D43AC" w:rsidRPr="005D43AC" w:rsidRDefault="005D43AC" w:rsidP="005D43AC">
      <w:pPr>
        <w:pStyle w:val="BodyText"/>
        <w:framePr w:hSpace="180" w:wrap="around" w:vAnchor="text" w:hAnchor="text" w:x="-488" w:y="1"/>
        <w:ind w:left="1418" w:right="-143" w:hanging="284"/>
        <w:suppressOverlap/>
        <w:jc w:val="both"/>
        <w:rPr>
          <w:rFonts w:ascii="GHEA Grapalat" w:hAnsi="GHEA Grapalat"/>
          <w:i/>
        </w:rPr>
      </w:pPr>
      <w:r w:rsidRPr="005D43AC">
        <w:rPr>
          <w:rFonts w:ascii="GHEA Grapalat" w:hAnsi="GHEA Grapalat"/>
          <w:i/>
        </w:rPr>
        <w:t xml:space="preserve">    2) Способ управления отсечным золотником применяется в системе: через ГСР или посредством ЭМП?</w:t>
      </w:r>
    </w:p>
    <w:p w:rsidR="000446A6" w:rsidRPr="005D43AC" w:rsidRDefault="005D43AC" w:rsidP="005D43AC">
      <w:pPr>
        <w:pStyle w:val="Footer"/>
        <w:ind w:left="1418" w:right="-143" w:hanging="567"/>
        <w:jc w:val="both"/>
        <w:rPr>
          <w:rFonts w:ascii="GHEA Grapalat" w:hAnsi="GHEA Grapalat"/>
          <w:i/>
        </w:rPr>
      </w:pPr>
      <w:r w:rsidRPr="005D43AC">
        <w:rPr>
          <w:rFonts w:ascii="GHEA Grapalat" w:hAnsi="GHEA Grapalat"/>
          <w:i/>
        </w:rPr>
        <w:t>3) Актуальную гидравлическую схему управления турбиной прикрепляется.</w:t>
      </w:r>
    </w:p>
    <w:p w:rsidR="005D43AC" w:rsidRPr="005D43AC" w:rsidRDefault="005D43AC" w:rsidP="000446A6">
      <w:pPr>
        <w:pStyle w:val="Footer"/>
        <w:ind w:left="1701" w:right="34" w:hanging="1701"/>
        <w:jc w:val="both"/>
        <w:rPr>
          <w:rFonts w:ascii="GHEA Grapalat" w:hAnsi="GHEA Grapalat"/>
          <w:i/>
        </w:rPr>
      </w:pPr>
    </w:p>
    <w:p w:rsidR="005D43AC" w:rsidRPr="00FE6E52" w:rsidRDefault="005D43AC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tbl>
      <w:tblPr>
        <w:tblStyle w:val="TableGrid"/>
        <w:tblW w:w="112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218"/>
        <w:gridCol w:w="222"/>
      </w:tblGrid>
      <w:tr w:rsidR="000446A6" w:rsidTr="005D43AC">
        <w:trPr>
          <w:trHeight w:val="1492"/>
        </w:trPr>
        <w:tc>
          <w:tcPr>
            <w:tcW w:w="1844" w:type="dxa"/>
          </w:tcPr>
          <w:p w:rsidR="000446A6" w:rsidRDefault="000446A6" w:rsidP="005D43AC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  <w:r w:rsidR="005D43AC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1  </w:t>
            </w:r>
          </w:p>
          <w:p w:rsidR="005D43AC" w:rsidRPr="005D43AC" w:rsidRDefault="005D43AC" w:rsidP="005D43AC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9218" w:type="dxa"/>
          </w:tcPr>
          <w:tbl>
            <w:tblPr>
              <w:tblW w:w="8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6434"/>
            </w:tblGrid>
            <w:tr w:rsidR="005D43AC" w:rsidRPr="00652BC4" w:rsidTr="005D43AC">
              <w:trPr>
                <w:trHeight w:val="283"/>
                <w:tblHeader/>
              </w:trPr>
              <w:tc>
                <w:tcPr>
                  <w:tcW w:w="2263" w:type="dxa"/>
                  <w:shd w:val="clear" w:color="auto" w:fill="D9D9D9"/>
                  <w:vAlign w:val="center"/>
                </w:tcPr>
                <w:p w:rsidR="005D43AC" w:rsidRPr="00652BC4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652BC4">
                    <w:rPr>
                      <w:rFonts w:ascii="GHEA Grapalat" w:hAnsi="GHEA Grapalat"/>
                      <w:i/>
                      <w:sz w:val="18"/>
                    </w:rPr>
                    <w:t>№ пункта ТТ</w:t>
                  </w:r>
                </w:p>
              </w:tc>
              <w:tc>
                <w:tcPr>
                  <w:tcW w:w="6434" w:type="dxa"/>
                  <w:shd w:val="clear" w:color="auto" w:fill="D9D9D9"/>
                  <w:vAlign w:val="center"/>
                </w:tcPr>
                <w:p w:rsidR="005D43AC" w:rsidRPr="00652BC4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  <w:szCs w:val="24"/>
                    </w:rPr>
                  </w:pPr>
                  <w:r w:rsidRPr="00652BC4">
                    <w:rPr>
                      <w:rFonts w:ascii="GHEA Grapalat" w:hAnsi="GHEA Grapalat"/>
                      <w:i/>
                      <w:sz w:val="18"/>
                      <w:szCs w:val="24"/>
                    </w:rPr>
                    <w:t>Ответ ААЭС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ind w:left="-120" w:firstLine="120"/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7.1.4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numPr>
                      <w:ilvl w:val="0"/>
                      <w:numId w:val="3"/>
                    </w:numPr>
                    <w:ind w:left="385" w:hanging="284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ИДП собирает сам проектировщик на площадке ААЭС</w:t>
                  </w:r>
                </w:p>
                <w:p w:rsidR="005D43AC" w:rsidRPr="005D43AC" w:rsidRDefault="005D43AC" w:rsidP="005D43AC">
                  <w:pPr>
                    <w:numPr>
                      <w:ilvl w:val="0"/>
                      <w:numId w:val="3"/>
                    </w:numPr>
                    <w:ind w:left="385" w:hanging="284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представляем</w:t>
                  </w:r>
                  <w:r w:rsidRPr="005D43AC">
                    <w:rPr>
                      <w:rFonts w:ascii="Calibri" w:hAnsi="Calibri" w:cs="Calibri"/>
                      <w:i/>
                      <w:sz w:val="18"/>
                    </w:rPr>
                    <w:t> </w:t>
                  </w:r>
                </w:p>
                <w:p w:rsidR="005D43AC" w:rsidRPr="005D43AC" w:rsidRDefault="005D43AC" w:rsidP="005D43AC">
                  <w:pPr>
                    <w:ind w:left="385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 xml:space="preserve">существующую схему системы регулирования. 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7.1.5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Закон РА О безопасном использовании атомной энергии в мирных целях</w:t>
                  </w:r>
                </w:p>
              </w:tc>
            </w:tr>
            <w:tr w:rsidR="005D43AC" w:rsidRPr="004C6678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8.2.2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доработка АРМ и РОМ не входить в данный проект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8.2.3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numPr>
                      <w:ilvl w:val="0"/>
                      <w:numId w:val="4"/>
                    </w:numPr>
                    <w:ind w:left="101" w:firstLine="0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полное разделение каналов</w:t>
                  </w:r>
                </w:p>
                <w:p w:rsidR="005D43AC" w:rsidRPr="005D43AC" w:rsidRDefault="005D43AC" w:rsidP="005D43AC">
                  <w:pPr>
                    <w:numPr>
                      <w:ilvl w:val="0"/>
                      <w:numId w:val="4"/>
                    </w:numPr>
                    <w:ind w:left="101" w:firstLine="0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по схеме 2 из 3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8.6.1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Паровая турбина с узлами, деталями и устройствами относится к категории сейсмостойкости ΙΙ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lastRenderedPageBreak/>
                    <w:t>8.7</w:t>
                  </w: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на этапе проектирования</w:t>
                  </w:r>
                </w:p>
              </w:tc>
            </w:tr>
            <w:tr w:rsidR="005D43AC" w:rsidRPr="00377F5B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444FD8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444FD8">
                    <w:rPr>
                      <w:rFonts w:ascii="GHEA Grapalat" w:hAnsi="GHEA Grapalat"/>
                      <w:i/>
                      <w:sz w:val="18"/>
                    </w:rPr>
                    <w:t>Согласно документа "Классификация систем, элементов, оборудования и сооружений с требованиями НТД по безопасности в атомной энергетике" инв№ А-64420 энергоблок №2 Армянская АЭС" класс безопасности - 4.</w:t>
                  </w:r>
                </w:p>
              </w:tc>
            </w:tr>
            <w:tr w:rsidR="005D43AC" w:rsidRPr="00377F5B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ind w:left="-41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Согласно документа "Классификация систем, элементов, оборудования и сооружений с тр</w:t>
                  </w:r>
                  <w:bookmarkStart w:id="0" w:name="_GoBack"/>
                  <w:bookmarkEnd w:id="0"/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 xml:space="preserve">ебованиями НТД по безопасности в атомной энергетике" инв№ А-64420 энергоблок №2 Армянская АЭС. 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на этапе проектирования</w:t>
                  </w:r>
                </w:p>
              </w:tc>
            </w:tr>
            <w:tr w:rsidR="005D43AC" w:rsidRPr="00377F5B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Выдаст ААЭС во время сбора ИДП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единое время выдаст ААЭС</w:t>
                  </w:r>
                </w:p>
              </w:tc>
            </w:tr>
            <w:tr w:rsidR="005D43AC" w:rsidRPr="00652BC4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единое время выдаст ААЭС</w:t>
                  </w:r>
                </w:p>
              </w:tc>
            </w:tr>
            <w:tr w:rsidR="005D43AC" w:rsidRPr="00377F5B" w:rsidTr="005D43AC"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>БИВ должен быть поставлен в комплекте</w:t>
                  </w:r>
                </w:p>
              </w:tc>
            </w:tr>
            <w:tr w:rsidR="005D43AC" w:rsidRPr="00652BC4" w:rsidTr="005D43AC">
              <w:trPr>
                <w:trHeight w:val="109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jc w:val="center"/>
                    <w:rPr>
                      <w:rFonts w:ascii="GHEA Grapalat" w:hAnsi="GHEA Grapalat"/>
                      <w:i/>
                      <w:sz w:val="18"/>
                    </w:rPr>
                  </w:pPr>
                </w:p>
              </w:tc>
              <w:tc>
                <w:tcPr>
                  <w:tcW w:w="6434" w:type="dxa"/>
                  <w:shd w:val="clear" w:color="auto" w:fill="auto"/>
                  <w:vAlign w:val="center"/>
                </w:tcPr>
                <w:p w:rsidR="005D43AC" w:rsidRPr="005D43AC" w:rsidRDefault="005D43AC" w:rsidP="005D43AC">
                  <w:pPr>
                    <w:ind w:left="-41"/>
                    <w:rPr>
                      <w:rFonts w:ascii="GHEA Grapalat" w:hAnsi="GHEA Grapalat"/>
                      <w:i/>
                      <w:sz w:val="18"/>
                    </w:rPr>
                  </w:pPr>
                  <w:r w:rsidRPr="005D43AC">
                    <w:rPr>
                      <w:rFonts w:ascii="GHEA Grapalat" w:hAnsi="GHEA Grapalat"/>
                      <w:i/>
                      <w:sz w:val="18"/>
                    </w:rPr>
                    <w:t xml:space="preserve">функция управления турбиной по месту обязательно. </w:t>
                  </w:r>
                </w:p>
              </w:tc>
            </w:tr>
          </w:tbl>
          <w:p w:rsidR="000446A6" w:rsidRPr="007C69D0" w:rsidRDefault="000446A6" w:rsidP="009F4110">
            <w:pPr>
              <w:pStyle w:val="ListParagraph"/>
              <w:ind w:left="318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222" w:type="dxa"/>
          </w:tcPr>
          <w:p w:rsidR="000446A6" w:rsidRPr="000446A6" w:rsidRDefault="000446A6" w:rsidP="000446A6">
            <w:pPr>
              <w:ind w:left="34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</w:p>
        </w:tc>
      </w:tr>
    </w:tbl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5D43AC" w:rsidRPr="005D43AC" w:rsidRDefault="005D43AC" w:rsidP="007C69D0">
      <w:pPr>
        <w:ind w:left="-284" w:firstLine="142"/>
        <w:jc w:val="both"/>
        <w:rPr>
          <w:rFonts w:ascii="GHEA Grapalat" w:hAnsi="GHEA Grapalat"/>
          <w:b/>
          <w:sz w:val="8"/>
          <w:szCs w:val="22"/>
        </w:rPr>
      </w:pPr>
    </w:p>
    <w:p w:rsidR="005D43AC" w:rsidRDefault="005D43AC" w:rsidP="005D43AC">
      <w:pPr>
        <w:ind w:left="-709" w:firstLine="142"/>
        <w:jc w:val="both"/>
        <w:rPr>
          <w:rFonts w:ascii="GHEA Grapalat" w:hAnsi="GHEA Grapalat"/>
          <w:spacing w:val="4"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2</w:t>
      </w:r>
    </w:p>
    <w:p w:rsidR="005D43AC" w:rsidRPr="005D43AC" w:rsidRDefault="005D43AC" w:rsidP="005D43AC">
      <w:pPr>
        <w:ind w:left="1276" w:right="34"/>
        <w:jc w:val="both"/>
        <w:rPr>
          <w:rFonts w:ascii="GHEA Grapalat" w:hAnsi="GHEA Grapalat" w:cs="Sylfaen"/>
          <w:i/>
          <w:sz w:val="20"/>
          <w:szCs w:val="21"/>
          <w:lang w:val="hy-AM"/>
        </w:rPr>
      </w:pPr>
      <w:r w:rsidRPr="005D43AC">
        <w:rPr>
          <w:rFonts w:ascii="GHEA Grapalat" w:hAnsi="GHEA Grapalat" w:cs="Sylfaen"/>
          <w:i/>
          <w:sz w:val="20"/>
          <w:szCs w:val="21"/>
          <w:lang w:val="hy-AM"/>
        </w:rPr>
        <w:t xml:space="preserve">1) </w:t>
      </w:r>
      <w:r w:rsidRPr="005D43AC">
        <w:rPr>
          <w:rFonts w:ascii="GHEA Grapalat" w:hAnsi="GHEA Grapalat" w:cs="Sylfaen"/>
          <w:i/>
          <w:sz w:val="20"/>
          <w:szCs w:val="21"/>
        </w:rPr>
        <w:t xml:space="preserve"> </w:t>
      </w:r>
      <w:r w:rsidRPr="005D43AC">
        <w:rPr>
          <w:rFonts w:ascii="GHEA Grapalat" w:hAnsi="GHEA Grapalat" w:cs="Sylfaen"/>
          <w:i/>
          <w:sz w:val="20"/>
          <w:szCs w:val="21"/>
          <w:lang w:val="hy-AM"/>
        </w:rPr>
        <w:t>Объем модернизации</w:t>
      </w:r>
      <w:r w:rsidRPr="005D43AC">
        <w:rPr>
          <w:rFonts w:ascii="GHEA Grapalat" w:hAnsi="GHEA Grapalat" w:cs="Sylfaen"/>
          <w:i/>
          <w:sz w:val="20"/>
          <w:szCs w:val="21"/>
        </w:rPr>
        <w:t xml:space="preserve"> </w:t>
      </w:r>
      <w:r w:rsidRPr="005D43AC">
        <w:rPr>
          <w:rFonts w:ascii="GHEA Grapalat" w:hAnsi="GHEA Grapalat" w:cs="Sylfaen"/>
          <w:i/>
          <w:sz w:val="20"/>
          <w:szCs w:val="21"/>
          <w:lang w:val="hy-AM"/>
        </w:rPr>
        <w:t>с указанием конкретных узлов и элементов подлежащих к замене, необходимо уточнить с АО «Украинские энергетические машины», так как оно является проектантом и изготовителем турбин и систем регулирования ААЭС.</w:t>
      </w:r>
    </w:p>
    <w:p w:rsidR="005D43AC" w:rsidRPr="005D43AC" w:rsidRDefault="005D43AC" w:rsidP="005D43AC">
      <w:pPr>
        <w:ind w:left="743" w:right="34" w:firstLine="533"/>
        <w:jc w:val="both"/>
        <w:rPr>
          <w:rFonts w:ascii="GHEA Grapalat" w:hAnsi="GHEA Grapalat" w:cs="Sylfaen"/>
          <w:i/>
          <w:sz w:val="20"/>
          <w:szCs w:val="21"/>
          <w:lang w:val="hy-AM"/>
        </w:rPr>
      </w:pPr>
      <w:r w:rsidRPr="005D43AC">
        <w:rPr>
          <w:rFonts w:ascii="GHEA Grapalat" w:hAnsi="GHEA Grapalat" w:cs="Sylfaen"/>
          <w:i/>
          <w:sz w:val="20"/>
          <w:szCs w:val="21"/>
          <w:lang w:val="hy-AM"/>
        </w:rPr>
        <w:t>2) Отсечной золотник должен управлятся ЭМП.</w:t>
      </w:r>
    </w:p>
    <w:p w:rsidR="005D43AC" w:rsidRPr="005D43AC" w:rsidRDefault="005D43AC" w:rsidP="005D43AC">
      <w:pPr>
        <w:ind w:left="743" w:right="34" w:firstLine="533"/>
        <w:jc w:val="both"/>
        <w:rPr>
          <w:rFonts w:ascii="GHEA Grapalat" w:hAnsi="GHEA Grapalat" w:cs="Sylfaen"/>
          <w:i/>
          <w:sz w:val="2"/>
          <w:szCs w:val="21"/>
          <w:lang w:val="hy-AM"/>
        </w:rPr>
      </w:pPr>
      <w:r w:rsidRPr="005D43AC">
        <w:rPr>
          <w:rFonts w:ascii="GHEA Grapalat" w:hAnsi="GHEA Grapalat" w:cs="Sylfaen"/>
          <w:i/>
          <w:sz w:val="20"/>
          <w:szCs w:val="21"/>
          <w:lang w:val="hy-AM"/>
        </w:rPr>
        <w:t>3) Актуальн</w:t>
      </w:r>
      <w:r w:rsidRPr="005D43AC">
        <w:rPr>
          <w:rFonts w:ascii="GHEA Grapalat" w:hAnsi="GHEA Grapalat" w:cs="Sylfaen"/>
          <w:i/>
          <w:sz w:val="20"/>
          <w:szCs w:val="21"/>
        </w:rPr>
        <w:t>ая</w:t>
      </w:r>
      <w:r w:rsidRPr="005D43AC">
        <w:rPr>
          <w:rFonts w:ascii="GHEA Grapalat" w:hAnsi="GHEA Grapalat" w:cs="Sylfaen"/>
          <w:i/>
          <w:sz w:val="20"/>
          <w:szCs w:val="21"/>
          <w:lang w:val="hy-AM"/>
        </w:rPr>
        <w:t xml:space="preserve"> гидравлическ</w:t>
      </w:r>
      <w:r w:rsidRPr="005D43AC">
        <w:rPr>
          <w:rFonts w:ascii="GHEA Grapalat" w:hAnsi="GHEA Grapalat" w:cs="Sylfaen"/>
          <w:i/>
          <w:sz w:val="20"/>
          <w:szCs w:val="21"/>
        </w:rPr>
        <w:t>ая</w:t>
      </w:r>
      <w:r w:rsidRPr="005D43AC">
        <w:rPr>
          <w:rFonts w:ascii="GHEA Grapalat" w:hAnsi="GHEA Grapalat" w:cs="Sylfaen"/>
          <w:i/>
          <w:sz w:val="20"/>
          <w:szCs w:val="21"/>
          <w:lang w:val="hy-AM"/>
        </w:rPr>
        <w:t xml:space="preserve"> схем</w:t>
      </w:r>
      <w:r w:rsidRPr="005D43AC">
        <w:rPr>
          <w:rFonts w:ascii="GHEA Grapalat" w:hAnsi="GHEA Grapalat" w:cs="Sylfaen"/>
          <w:i/>
          <w:sz w:val="20"/>
          <w:szCs w:val="21"/>
        </w:rPr>
        <w:t>а</w:t>
      </w:r>
      <w:r w:rsidRPr="005D43AC">
        <w:rPr>
          <w:rFonts w:ascii="GHEA Grapalat" w:hAnsi="GHEA Grapalat" w:cs="Sylfaen"/>
          <w:i/>
          <w:sz w:val="20"/>
          <w:szCs w:val="21"/>
          <w:lang w:val="hy-AM"/>
        </w:rPr>
        <w:t xml:space="preserve"> управления турбинной прикрепляется. </w:t>
      </w:r>
    </w:p>
    <w:p w:rsidR="005D43AC" w:rsidRPr="005D43AC" w:rsidRDefault="005D43AC" w:rsidP="007C69D0">
      <w:pPr>
        <w:ind w:left="-284" w:firstLine="142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</w:p>
    <w:p w:rsidR="005D43AC" w:rsidRDefault="005D43AC" w:rsidP="007C69D0">
      <w:pPr>
        <w:ind w:left="-284" w:firstLine="142"/>
        <w:jc w:val="both"/>
        <w:rPr>
          <w:rFonts w:ascii="GHEA Grapalat" w:hAnsi="GHEA Grapalat"/>
          <w:spacing w:val="4"/>
          <w:sz w:val="22"/>
          <w:szCs w:val="22"/>
        </w:rPr>
      </w:pPr>
      <w:r w:rsidRPr="00893DEF">
        <w:rPr>
          <w:rFonts w:ascii="GHEA Grapalat" w:hAnsi="GHEA Grapalat" w:cs="Sylfaen"/>
          <w:i/>
          <w:noProof/>
          <w:szCs w:val="21"/>
          <w:lang w:val="en-US" w:eastAsia="en-US" w:bidi="ar-SA"/>
        </w:rPr>
        <w:drawing>
          <wp:inline distT="0" distB="0" distL="0" distR="0">
            <wp:extent cx="6550660" cy="3951027"/>
            <wp:effectExtent l="0" t="0" r="0" b="0"/>
            <wp:docPr id="1" name="Picture 1" descr="BSREG-1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REG-1_page-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23" cy="39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AC" w:rsidRDefault="005D43AC" w:rsidP="007C69D0">
      <w:pPr>
        <w:ind w:left="-284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8"/>
      <w:footerReference w:type="default" r:id="rId9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A6" w:rsidRDefault="00B43DA6">
      <w:r>
        <w:separator/>
      </w:r>
    </w:p>
  </w:endnote>
  <w:endnote w:type="continuationSeparator" w:id="0">
    <w:p w:rsidR="00B43DA6" w:rsidRDefault="00B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44FD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A6" w:rsidRDefault="00B43DA6">
      <w:r>
        <w:separator/>
      </w:r>
    </w:p>
  </w:footnote>
  <w:footnote w:type="continuationSeparator" w:id="0">
    <w:p w:rsidR="00B43DA6" w:rsidRDefault="00B4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44FD8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3DA6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78</cp:revision>
  <cp:lastPrinted>2021-06-04T13:28:00Z</cp:lastPrinted>
  <dcterms:created xsi:type="dcterms:W3CDTF">2018-08-08T07:12:00Z</dcterms:created>
  <dcterms:modified xsi:type="dcterms:W3CDTF">2025-05-05T09:46:00Z</dcterms:modified>
</cp:coreProperties>
</file>